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Finpliq Responsible Disclosure Policy</w:t>
      </w:r>
    </w:p>
    <w:p>
      <w:r>
        <w:t>Finpliq welcomes responsible security reports. Researchers should avoid accessing, changing, deleting or exfiltrating customer data. Testing must not disrupt service availability, HMRC filing flows, payment processing or other users.</w:t>
      </w:r>
    </w:p>
    <w:p>
      <w:r>
        <w:t>Reports should include affected URL, steps to reproduce, impact, screenshots or safe proof of concept and contact details. Finpliq aims to acknowledge valid reports promptly, assess severity, remediate proportionately and coordinate disclosure timing. Finpliq does not currently operate a paid bug bounty programme.</w:t>
      </w:r>
    </w:p>
    <w:p>
      <w:r>
        <w:t>Safe harbour applies to good-faith research that stays within this policy and avoids privacy harm, service disruption and extortion.</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Finpliq security governance document. Do not include secrets in incident records.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Disclosure Policy</dc:title>
  <dc:subject/>
  <dc:creator>Finpliq</dc:creator>
  <cp:keywords/>
  <dc:description>generated by python-docx</dc:description>
  <cp:lastModifiedBy/>
  <cp:revision>1</cp:revision>
  <dcterms:created xsi:type="dcterms:W3CDTF">2013-12-23T23:15:00Z</dcterms:created>
  <dcterms:modified xsi:type="dcterms:W3CDTF">2013-12-23T23:15:00Z</dcterms:modified>
  <cp:category/>
</cp:coreProperties>
</file>