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Finpliq Security Breach Procedure</w:t>
      </w:r>
    </w:p>
    <w:p>
      <w:r>
        <w:t>This procedure supports HMRC, ICO and customer notification decisions after a suspected or confirmed security breach.</w:t>
      </w:r>
    </w:p>
    <w:p>
      <w:r>
        <w:t>1. Create an Incident Register entry immediately.</w:t>
      </w:r>
    </w:p>
    <w:p>
      <w:r>
        <w:t>2. Classify severity and category.</w:t>
      </w:r>
    </w:p>
    <w:p>
      <w:r>
        <w:t>3. Preserve evidence before making destructive changes.</w:t>
      </w:r>
    </w:p>
    <w:p>
      <w:r>
        <w:t>4. Determine whether HMRC credentials, OAuth tokens, Government Gateway details, filing payloads or HMRC submission integrity may be affected.</w:t>
      </w:r>
    </w:p>
    <w:p>
      <w:r>
        <w:t>5. Determine whether personal data is affected and assess UK GDPR risk.</w:t>
      </w:r>
    </w:p>
    <w:p>
      <w:r>
        <w:t>6. Contain the incident and prevent further access or submission.</w:t>
      </w:r>
    </w:p>
    <w:p>
      <w:r>
        <w:t>7. Obtain approval from the Incident Manager/Security Lead before external notifications unless urgent legal or customer-protection action is required.</w:t>
      </w:r>
    </w:p>
    <w:p>
      <w:r>
        <w:t>8. Notify HMRC using HMRC's published security reporting process when HMRC systems, credentials, filings or tax data may be affected.</w:t>
      </w:r>
    </w:p>
    <w:p>
      <w:r>
        <w:t>9. Notify ICO within 72 hours where UK GDPR requires notification.</w:t>
      </w:r>
    </w:p>
    <w:p>
      <w:r>
        <w:t>10. Notify affected customers where legally required or where action is needed.</w:t>
      </w:r>
    </w:p>
    <w:p>
      <w:r>
        <w:t>11. Record all references, dates, decisions and communications in the Incident Register.</w:t>
      </w:r>
    </w:p>
    <w:sectPr w:rsidR="00FC693F" w:rsidRPr="0006063C" w:rsidSect="00034616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Finpliq security governance document. Do not include secrets in incident records.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Breach Procedure</dc:title>
  <dc:subject/>
  <dc:creator>Finpliq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