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t>Finpliq Security Communications Procedure</w:t>
      </w:r>
    </w:p>
    <w:p>
      <w:r>
        <w:t>Security communications must be factual, clear and approved. Templates are maintained for incident acknowledgement, incident resolved, customer notification, security advisory and maintenance notice.</w:t>
      </w:r>
    </w:p>
    <w:p>
      <w:r>
        <w:t>Customer notices should explain what happened, what data or services may be affected, what Finpliq has done, what customers should do, support contact route and expected updates. HMRC and ICO notifications must include known facts, evidence, timestamps, impact, containment and follow-up plan without exposing secrets.</w:t>
      </w:r>
    </w:p>
    <w:sectPr w:rsidR="00FC693F" w:rsidRPr="0006063C" w:rsidSect="00034616">
      <w:footerReference w:type="default" r:id="rId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Finpliq security governance document. Do not include secrets in incident records.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Communications Procedure</dc:title>
  <dc:subject/>
  <dc:creator>Finpliq</dc:creator>
  <cp:keywords/>
  <dc:description>generated by python-docx</dc:description>
  <cp:lastModifiedBy/>
  <cp:revision>1</cp:revision>
  <dcterms:created xsi:type="dcterms:W3CDTF">2013-12-23T23:15:00Z</dcterms:created>
  <dcterms:modified xsi:type="dcterms:W3CDTF">2013-12-23T23:15:00Z</dcterms:modified>
  <cp:category/>
</cp:coreProperties>
</file>