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t>Finpliq Security Incident Response Plan</w:t>
      </w:r>
    </w:p>
    <w:p>
      <w:pPr>
        <w:pStyle w:val="Heading1"/>
      </w:pPr>
      <w:r>
        <w:t>1. Detect</w:t>
      </w:r>
    </w:p>
    <w:p>
      <w:r>
        <w:t>Record the source of detection, date/time, reporter, impacted system, initial evidence and any immediate customer or HMRC filing impact.</w:t>
      </w:r>
    </w:p>
    <w:p>
      <w:pPr>
        <w:pStyle w:val="Heading1"/>
      </w:pPr>
      <w:r>
        <w:t>2. Assess</w:t>
      </w:r>
    </w:p>
    <w:p>
      <w:r>
        <w:t>Confirm whether the event is security-related, whether customer data may be affected, whether HMRC credentials or filing data may be affected, whether service availability is affected and whether containment is urgent.</w:t>
      </w:r>
    </w:p>
    <w:p>
      <w:pPr>
        <w:pStyle w:val="Heading1"/>
      </w:pPr>
      <w:r>
        <w:t>3. Classify</w:t>
      </w:r>
    </w:p>
    <w:p>
      <w:r>
        <w:t>Create or update the Incident Register entry. Assign severity, category, owner and status. Use Critical for confirmed/suspected HMRC credential compromise, database breach, unauthorised filing, ransomware or compromised admin account.</w:t>
      </w:r>
    </w:p>
    <w:p>
      <w:pPr>
        <w:pStyle w:val="Heading1"/>
      </w:pPr>
      <w:r>
        <w:t>4. Contain</w:t>
      </w:r>
    </w:p>
    <w:p>
      <w:r>
        <w:t>Take proportionate action: disable accounts, revoke sessions, rotate secrets, disable affected integration, stop filing submissions, isolate infrastructure or apply emergency patching. Record every action in the timeline.</w:t>
      </w:r>
    </w:p>
    <w:p>
      <w:pPr>
        <w:pStyle w:val="Heading1"/>
      </w:pPr>
      <w:r>
        <w:t>5. Investigate</w:t>
      </w:r>
    </w:p>
    <w:p>
      <w:r>
        <w:t>Review audit logs, application logs, deployment history, database access, third-party alerts, affected users, affected businesses and filing records. Do not store secrets in the investigation notes.</w:t>
      </w:r>
    </w:p>
    <w:p>
      <w:pPr>
        <w:pStyle w:val="Heading1"/>
      </w:pPr>
      <w:r>
        <w:t>6. Preserve evidence</w:t>
      </w:r>
    </w:p>
    <w:p>
      <w:r>
        <w:t>Export relevant audit records, HMRC correlation/reference IDs, timestamps, communication logs and screenshots where needed. Hash or redact sensitive evidence where practical.</w:t>
      </w:r>
    </w:p>
    <w:p>
      <w:pPr>
        <w:pStyle w:val="Heading1"/>
      </w:pPr>
      <w:r>
        <w:t>7. Recover</w:t>
      </w:r>
    </w:p>
    <w:p>
      <w:r>
        <w:t>Patch root cause, rotate credentials, validate workflows, restore from backup if required, reconcile data, verify HMRC filing integrity and confirm platform health before reopening affected functions.</w:t>
      </w:r>
    </w:p>
    <w:p>
      <w:pPr>
        <w:pStyle w:val="Heading1"/>
      </w:pPr>
      <w:r>
        <w:t>8. Notify</w:t>
      </w:r>
    </w:p>
    <w:p>
      <w:r>
        <w:t>Decide whether to notify HMRC, ICO, customers, suppliers or internal stakeholders. Record decision rationale, approval and references. HMRC notification follows HMRC's published security reporting process; ICO notification follows UK GDPR assessment and the 72-hour rule where applicable.</w:t>
      </w:r>
    </w:p>
    <w:p>
      <w:pPr>
        <w:pStyle w:val="Heading1"/>
      </w:pPr>
      <w:r>
        <w:t>9. Monitor</w:t>
      </w:r>
    </w:p>
    <w:p>
      <w:r>
        <w:t>Increase monitoring for recurrence, failed logins, unusual filing activity, unexpected token refreshes, unusual admin actions and customer reports.</w:t>
      </w:r>
    </w:p>
    <w:p>
      <w:pPr>
        <w:pStyle w:val="Heading1"/>
      </w:pPr>
      <w:r>
        <w:t>10. Close</w:t>
      </w:r>
    </w:p>
    <w:p>
      <w:r>
        <w:t>Close only when containment, recovery, notification decisions and customer support actions are complete. Record closed date, owner and final status.</w:t>
      </w:r>
    </w:p>
    <w:p>
      <w:pPr>
        <w:pStyle w:val="Heading1"/>
      </w:pPr>
      <w:r>
        <w:t>11. Lessons learned</w:t>
      </w:r>
    </w:p>
    <w:p>
      <w:r>
        <w:t>Complete post-incident review, update controls, update documentation, create engineering tickets and review whether training or supplier changes are required.</w:t>
      </w:r>
    </w:p>
    <w:sectPr w:rsidR="00FC693F" w:rsidRPr="0006063C" w:rsidSect="00034616">
      <w:footerReference w:type="default" r:id="rId9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Finpliq security governance document. Do not include secrets in incident records.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Response Plan</dc:title>
  <dc:subject/>
  <dc:creator>Finpliq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