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t>Finpliq Security Incident Response Policy</w:t>
      </w:r>
    </w:p>
    <w:p>
      <w:r>
        <w:t>Version: 1.0</w:t>
      </w:r>
    </w:p>
    <w:p>
      <w:r>
        <w:t>Owner: Finpliq Security Lead</w:t>
      </w:r>
    </w:p>
    <w:p>
      <w:r>
        <w:t>Review cadence: At least annually and after any material incident</w:t>
      </w:r>
    </w:p>
    <w:p>
      <w:pPr>
        <w:pStyle w:val="Heading1"/>
      </w:pPr>
      <w:r>
        <w:t>Purpose</w:t>
      </w:r>
    </w:p>
    <w:p>
      <w:r>
        <w:t>This policy defines how Finpliq detects, assesses, responds to, communicates and learns from security incidents affecting the platform, HMRC filing workflows, customer financial information, credentials, infrastructure, staff accounts or suppliers.</w:t>
      </w:r>
    </w:p>
    <w:p>
      <w:pPr>
        <w:pStyle w:val="Heading1"/>
      </w:pPr>
      <w:r>
        <w:t>Scope</w:t>
      </w:r>
    </w:p>
    <w:p>
      <w:r>
        <w:t>This policy applies to the Finpliq web application, database, HMRC integrations, payroll RTI/CIS GovTalk workflows, HMRC OAuth connections, Companies House connections, Stripe billing, email delivery, support processes, production infrastructure and administrative access.</w:t>
      </w:r>
    </w:p>
    <w:p>
      <w:pPr>
        <w:pStyle w:val="Heading1"/>
      </w:pPr>
      <w:r>
        <w:t>Definitions</w:t>
      </w:r>
    </w:p>
    <w:p>
      <w:r>
        <w:t>A security incident is an event that has caused, or could cause, unauthorised access, loss, alteration, disclosure, disruption or misuse of Finpliq systems or data. A personal data breach is a security incident that affects personal data and may require UK GDPR assessment. An HMRC-relevant incident is an incident that could affect HMRC credentials, HMRC submissions, tax filing data or HMRC production credentials.</w:t>
      </w:r>
    </w:p>
    <w:p>
      <w:pPr>
        <w:pStyle w:val="Heading1"/>
      </w:pPr>
      <w:r>
        <w:t>Incident categories</w:t>
      </w:r>
    </w:p>
    <w:p>
      <w:r>
        <w:t>Finpliq classifies incidents using the categories in the platform Incident Register: HMRC credential compromise, customer account compromise, database breach, compromised admin account, ransomware, malware, unauthorised filing, privilege escalation, lost backup, payment compromise, infrastructure outage, third-party compromise, vulnerability report and other.</w:t>
      </w:r>
    </w:p>
    <w:p>
      <w:pPr>
        <w:pStyle w:val="Heading1"/>
      </w:pPr>
      <w:r>
        <w:t>Severity</w:t>
      </w:r>
    </w:p>
    <w:p>
      <w:r>
        <w:t>Critical incidents require immediate escalation and may include HMRC credential compromise, confirmed database breach, unauthorised HMRC filing, ransomware or compromised super-admin access. High incidents include suspected account compromise, privilege escalation, serious third-party breach or significant outage. Medium incidents include limited-scope vulnerability reports, failed access-control checks or localised service issues. Low incidents include suspicious activity with no evidence of compromise or minor configuration issues.</w:t>
      </w:r>
    </w:p>
    <w:p>
      <w:pPr>
        <w:pStyle w:val="Heading1"/>
      </w:pPr>
      <w:r>
        <w:t>Roles and responsibilities</w:t>
      </w:r>
    </w:p>
    <w:p>
      <w:r>
        <w:t>The Incident Manager coordinates response, decisions, evidence and communications. The Technical Lead investigates systems, containment and recovery. The Security Lead assesses risk, regulatory notification and root cause. Customer Communications prepares customer-facing messages. Support Lead manages customer tickets and status updates. In a small organisation, one person may initially hold more than one role, but decisions and evidence must still be recorded.</w:t>
      </w:r>
    </w:p>
    <w:p>
      <w:pPr>
        <w:pStyle w:val="Heading1"/>
      </w:pPr>
      <w:r>
        <w:t>Escalation</w:t>
      </w:r>
    </w:p>
    <w:p>
      <w:r>
        <w:t>Critical incidents are escalated immediately to the founder/director and technical lead. High incidents are escalated the same business day. Medium and low incidents are triaged through the Security Centre and reviewed according to operational urgency.</w:t>
      </w:r>
    </w:p>
    <w:p>
      <w:pPr>
        <w:pStyle w:val="Heading1"/>
      </w:pPr>
      <w:r>
        <w:t>Detection</w:t>
      </w:r>
    </w:p>
    <w:p>
      <w:r>
        <w:t>Incidents may be detected through system alerts, filing failures, customer reports, support tickets, audit logs, vulnerability disclosures, supplier notifications, admin reviews or anomalous behaviour.</w:t>
      </w:r>
    </w:p>
    <w:p>
      <w:pPr>
        <w:pStyle w:val="Heading1"/>
      </w:pPr>
      <w:r>
        <w:t>Containment, investigation and eradication</w:t>
      </w:r>
    </w:p>
    <w:p>
      <w:r>
        <w:t>Containment may include revoking sessions, disabling accounts, rotating credentials, disabling integrations, blocking IPs, pausing filings, isolating systems or taking a feature offline. Investigation must preserve evidence before destructive changes. Eradication removes the cause, such as fixing vulnerable code, rotating secrets, removing malware, closing exposed access or correcting misconfiguration.</w:t>
      </w:r>
    </w:p>
    <w:p>
      <w:pPr>
        <w:pStyle w:val="Heading1"/>
      </w:pPr>
      <w:r>
        <w:t>Recovery and monitoring</w:t>
      </w:r>
    </w:p>
    <w:p>
      <w:r>
        <w:t>Recovery restores safe service operation, validates data integrity, tests impacted workflows and monitors for recurrence. HMRC filing workflows must not be resumed until credential integrity and filing integrity are confirmed.</w:t>
      </w:r>
    </w:p>
    <w:p>
      <w:pPr>
        <w:pStyle w:val="Heading1"/>
      </w:pPr>
      <w:r>
        <w:t>Evidence preservation</w:t>
      </w:r>
    </w:p>
    <w:p>
      <w:r>
        <w:t>The Incident Register, timeline, audit events, relevant logs, communication records, HMRC references, ICO references and customer notification records must be retained. Passwords, tokens and secrets must not be pasted into incident records.</w:t>
      </w:r>
    </w:p>
    <w:p>
      <w:pPr>
        <w:pStyle w:val="Heading1"/>
      </w:pPr>
      <w:r>
        <w:t>Communication</w:t>
      </w:r>
    </w:p>
    <w:p>
      <w:r>
        <w:t>Internal communication must be factual, time-stamped and recorded. Customer communication must be clear, plain-English and approved before sending. Public communication must not speculate.</w:t>
      </w:r>
    </w:p>
    <w:p>
      <w:pPr>
        <w:pStyle w:val="Heading1"/>
      </w:pPr>
      <w:r>
        <w:t>HMRC notification</w:t>
      </w:r>
    </w:p>
    <w:p>
      <w:r>
        <w:t>HMRC must be considered for notification where an incident may affect HMRC production credentials, HMRC OAuth tokens, Government Gateway credentials, HMRC filing data, tax submissions, fraudulent filing or integrity of HMRC communications. Notifications follow HMRC's published security reporting process. Finpliq must record the decision, evidence considered, approval, notification date/time and any HMRC ticket/reference.</w:t>
      </w:r>
    </w:p>
    <w:p>
      <w:pPr>
        <w:pStyle w:val="Heading1"/>
      </w:pPr>
      <w:r>
        <w:t>ICO notification</w:t>
      </w:r>
    </w:p>
    <w:p>
      <w:r>
        <w:t>Personal data breaches are assessed under UK GDPR. Where a breach is likely to result in risk to individuals, the ICO notification deadline is normally within 72 hours of becoming aware. The decision, rationale, notification reference and follow-up actions must be recorded.</w:t>
      </w:r>
    </w:p>
    <w:p>
      <w:pPr>
        <w:pStyle w:val="Heading1"/>
      </w:pPr>
      <w:r>
        <w:t>Customer notification</w:t>
      </w:r>
    </w:p>
    <w:p>
      <w:r>
        <w:t>Customers are notified when required by law, contract or risk assessment, or where action is needed from them such as password reset, credential rotation or review of filings.</w:t>
      </w:r>
    </w:p>
    <w:p>
      <w:pPr>
        <w:pStyle w:val="Heading1"/>
      </w:pPr>
      <w:r>
        <w:t>Post-incident review</w:t>
      </w:r>
    </w:p>
    <w:p>
      <w:r>
        <w:t>After closure, Finpliq records root cause, lessons learned, actions completed, actions outstanding, control improvements and whether policies, training or monitoring require updates.</w:t>
      </w:r>
    </w:p>
    <w:p>
      <w:pPr>
        <w:pStyle w:val="Heading1"/>
      </w:pPr>
      <w:r>
        <w:t>Document retention</w:t>
      </w:r>
    </w:p>
    <w:p>
      <w:r>
        <w:t>Incident records and evidence are retained for at least six years unless a longer legal, regulatory or contractual retention period applies.</w:t>
      </w:r>
    </w:p>
    <w:p>
      <w:pPr>
        <w:pStyle w:val="Heading1"/>
      </w:pPr>
      <w:r>
        <w:t>Version history</w:t>
      </w:r>
    </w:p>
    <w:p>
      <w:r>
        <w:t>1.0 - Initial production incident response policy for Finpliq.</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Finpliq security governance document. Do not include secrets in incident records.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Response Policy</dc:title>
  <dc:subject/>
  <dc:creator>Finpliq</dc:creator>
  <cp:keywords/>
  <dc:description>generated by python-docx</dc:description>
  <cp:lastModifiedBy/>
  <cp:revision>1</cp:revision>
  <dcterms:created xsi:type="dcterms:W3CDTF">2013-12-23T23:15:00Z</dcterms:created>
  <dcterms:modified xsi:type="dcterms:W3CDTF">2013-12-23T23:15:00Z</dcterms:modified>
  <cp:category/>
</cp:coreProperties>
</file>